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line="240" w:lineRule="auto"/>
        <w:jc w:val="left"/>
        <w:outlineLvl w:val="0"/>
        <w:rPr>
          <w:rFonts w:ascii="黑体" w:hAnsi="宋体" w:eastAsia="黑体"/>
          <w:kern w:val="44"/>
          <w:szCs w:val="32"/>
        </w:rPr>
      </w:pPr>
      <w:bookmarkStart w:id="0" w:name="_Toc37171498"/>
      <w:r>
        <w:rPr>
          <w:rFonts w:hint="eastAsia" w:ascii="黑体" w:hAnsi="宋体" w:eastAsia="黑体"/>
          <w:snapToGrid w:val="0"/>
          <w:kern w:val="44"/>
          <w:szCs w:val="32"/>
        </w:rPr>
        <w:t>附件</w:t>
      </w:r>
    </w:p>
    <w:p>
      <w:pPr>
        <w:keepNext/>
        <w:keepLines/>
        <w:spacing w:line="600" w:lineRule="exact"/>
        <w:jc w:val="center"/>
        <w:outlineLvl w:val="0"/>
        <w:rPr>
          <w:rFonts w:ascii="华文中宋" w:hAnsi="华文中宋" w:eastAsia="华文中宋"/>
          <w:snapToGrid w:val="0"/>
          <w:kern w:val="44"/>
          <w:sz w:val="44"/>
        </w:rPr>
      </w:pPr>
      <w:r>
        <w:rPr>
          <w:rFonts w:hint="eastAsia" w:ascii="方正书宋_GBK" w:hAnsi="方正书宋_GBK" w:eastAsia="方正书宋_GBK"/>
          <w:snapToGrid w:val="0"/>
          <w:kern w:val="44"/>
          <w:sz w:val="44"/>
        </w:rPr>
        <w:t>杭州市居住证积分管理指标体系</w:t>
      </w:r>
    </w:p>
    <w:tbl>
      <w:tblPr>
        <w:tblStyle w:val="4"/>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Layout w:type="fixed"/>
        <w:tblCellMar>
          <w:top w:w="57" w:type="dxa"/>
          <w:left w:w="108" w:type="dxa"/>
          <w:bottom w:w="57" w:type="dxa"/>
          <w:right w:w="108" w:type="dxa"/>
        </w:tblCellMar>
      </w:tblPr>
      <w:tblGrid>
        <w:gridCol w:w="586"/>
        <w:gridCol w:w="1026"/>
        <w:gridCol w:w="2684"/>
        <w:gridCol w:w="3270"/>
        <w:gridCol w:w="609"/>
        <w:gridCol w:w="1476"/>
        <w:gridCol w:w="1873"/>
        <w:gridCol w:w="1427"/>
        <w:gridCol w:w="2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57" w:type="dxa"/>
            <w:left w:w="108" w:type="dxa"/>
            <w:bottom w:w="57" w:type="dxa"/>
            <w:right w:w="108" w:type="dxa"/>
          </w:tblCellMar>
        </w:tblPrEx>
        <w:trPr>
          <w:cantSplit/>
          <w:tblHeader/>
        </w:trPr>
        <w:tc>
          <w:tcPr>
            <w:tcW w:w="58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类别</w:t>
            </w:r>
          </w:p>
        </w:tc>
        <w:tc>
          <w:tcPr>
            <w:tcW w:w="102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指标</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具体指标</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标准分值</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最高</w:t>
            </w:r>
          </w:p>
          <w:p>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分值</w:t>
            </w:r>
          </w:p>
        </w:tc>
        <w:tc>
          <w:tcPr>
            <w:tcW w:w="147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责任单位</w:t>
            </w: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eastAsia="黑体"/>
                <w:sz w:val="18"/>
                <w:szCs w:val="18"/>
              </w:rPr>
            </w:pPr>
            <w:r>
              <w:rPr>
                <w:rFonts w:eastAsia="黑体"/>
                <w:sz w:val="18"/>
                <w:szCs w:val="18"/>
              </w:rPr>
              <w:t>备　　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基础分</w:t>
            </w: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基础分</w:t>
            </w:r>
          </w:p>
          <w:p>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102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年龄状况</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56-60周岁，积5分；年龄每减少1岁，积分增加2分</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w:t>
            </w:r>
          </w:p>
        </w:tc>
        <w:tc>
          <w:tcPr>
            <w:tcW w:w="147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市公安局</w:t>
            </w: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left"/>
              <w:textAlignment w:val="center"/>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就业及参加社保情况</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依法在本市市区参加社会保险</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0.5分/月</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120</w:t>
            </w:r>
          </w:p>
        </w:tc>
        <w:tc>
          <w:tcPr>
            <w:tcW w:w="147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市人力社保局、市医疗保障局</w:t>
            </w: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职工个人社会保险未参保登记不计分，补缴不计分。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住所及居住年限情况</w:t>
            </w:r>
          </w:p>
          <w:p>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在本市市区有自购产权住房且实际居住</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w:t>
            </w:r>
          </w:p>
        </w:tc>
        <w:tc>
          <w:tcPr>
            <w:tcW w:w="147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市住保房管局、市规划和自然资源局</w:t>
            </w:r>
          </w:p>
        </w:tc>
        <w:tc>
          <w:tcPr>
            <w:tcW w:w="3300" w:type="dxa"/>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指申请人或其配偶、父母、子女自购产权住房。不含非住宅类产权房。多套房的不累计积分。实际居住以“浙江省流动人口居住信息管理系统”登记的流动人口信息为准。</w:t>
            </w:r>
          </w:p>
        </w:tc>
        <w:tc>
          <w:tcPr>
            <w:tcW w:w="240"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取其中高分项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57" w:type="dxa"/>
            <w:left w:w="108" w:type="dxa"/>
            <w:bottom w:w="57" w:type="dxa"/>
            <w:right w:w="108" w:type="dxa"/>
          </w:tblCellMar>
        </w:tblPrEx>
        <w:trPr>
          <w:cantSplit/>
          <w:trHeight w:val="2476"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租住合法居住房屋</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6分/年</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w:t>
            </w:r>
          </w:p>
        </w:tc>
        <w:tc>
          <w:tcPr>
            <w:tcW w:w="147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市住保房管局、市规划和自然资源局、市公安局等</w:t>
            </w:r>
          </w:p>
        </w:tc>
        <w:tc>
          <w:tcPr>
            <w:tcW w:w="3300" w:type="dxa"/>
            <w:gridSpan w:val="2"/>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1．指申请人或其配偶、父母、子女租住的居住出租房屋。</w:t>
            </w:r>
          </w:p>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2．租住的居住出租房屋应符合《杭州市居住房屋出租安全管理若干规定》及《杭州市房屋租赁管理规定》。</w:t>
            </w:r>
          </w:p>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3．2017年以后，租住国有土地上房屋的，提供房管部门出具的《杭州市房屋租赁登记备案证明（居住房屋）》；租住集体土地上房屋的，提供乡镇政府（街道办事处）或其委托的社区居民委员会（村民委员会）出具的《杭州市居住房屋安全排查表》及相应合同。</w:t>
            </w:r>
          </w:p>
        </w:tc>
        <w:tc>
          <w:tcPr>
            <w:tcW w:w="24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Height w:val="877"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累计在本市市区办理居住登记或《居住证》</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5分/年</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100</w:t>
            </w:r>
          </w:p>
        </w:tc>
        <w:tc>
          <w:tcPr>
            <w:tcW w:w="147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市公安局</w:t>
            </w: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以“浙江省流动人口居住信息管理系统”登记的流动人口信息为准，有中断的，每满12个月按1年计算，不满12个月不计分。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文化程度</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博士研究生学历、博士学位</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90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90</w:t>
            </w:r>
          </w:p>
        </w:tc>
        <w:tc>
          <w:tcPr>
            <w:tcW w:w="1476" w:type="dxa"/>
            <w:vMerge w:val="restart"/>
            <w:tcBorders>
              <w:top w:val="single" w:color="auto" w:sz="4" w:space="0"/>
              <w:left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市教育局</w:t>
            </w:r>
          </w:p>
        </w:tc>
        <w:tc>
          <w:tcPr>
            <w:tcW w:w="1873" w:type="dxa"/>
            <w:vMerge w:val="restart"/>
            <w:tcBorders>
              <w:top w:val="single" w:color="auto" w:sz="4" w:space="0"/>
              <w:left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境内高校本科文化程度及以上的申请人只取得对应学历或学位其中一项证书的，按标准分减10分计。学历结论为结业或肄业的不计分。</w:t>
            </w:r>
          </w:p>
        </w:tc>
        <w:tc>
          <w:tcPr>
            <w:tcW w:w="1667" w:type="dxa"/>
            <w:gridSpan w:val="2"/>
            <w:vMerge w:val="restart"/>
            <w:tcBorders>
              <w:top w:val="single" w:color="auto" w:sz="4" w:space="0"/>
              <w:left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文化程度、专业技术职称或技能水平两项只计最高分，不累计加分，其中取得多个职称或职业资格的，由申请人自主确定按其中一个申请积分。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硕士研究生学历、硕士学位</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70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70</w:t>
            </w:r>
          </w:p>
        </w:tc>
        <w:tc>
          <w:tcPr>
            <w:tcW w:w="1476"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873"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667" w:type="dxa"/>
            <w:gridSpan w:val="2"/>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本科学历、学士学位</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50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50</w:t>
            </w:r>
          </w:p>
        </w:tc>
        <w:tc>
          <w:tcPr>
            <w:tcW w:w="1476"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873"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667" w:type="dxa"/>
            <w:gridSpan w:val="2"/>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大专（高职）学历</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w:t>
            </w:r>
          </w:p>
        </w:tc>
        <w:tc>
          <w:tcPr>
            <w:tcW w:w="1476"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873"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667" w:type="dxa"/>
            <w:gridSpan w:val="2"/>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高中（中职）学历</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10</w:t>
            </w:r>
          </w:p>
        </w:tc>
        <w:tc>
          <w:tcPr>
            <w:tcW w:w="1476" w:type="dxa"/>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873" w:type="dxa"/>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667" w:type="dxa"/>
            <w:gridSpan w:val="2"/>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restart"/>
            <w:tcBorders>
              <w:top w:val="single" w:color="auto" w:sz="4" w:space="0"/>
              <w:left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专业技术职称或技能水平</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正高级职称</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100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100</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市人力社保局</w:t>
            </w:r>
          </w:p>
        </w:tc>
        <w:tc>
          <w:tcPr>
            <w:tcW w:w="1873"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专业技术职称证书应是工作期间在工作地取得的、由具有相应职称管理权限的部门或单位颁发的、符合国家职称评审基本条件的证书（含电子证书和纸质证书）。</w:t>
            </w:r>
          </w:p>
        </w:tc>
        <w:tc>
          <w:tcPr>
            <w:tcW w:w="1667" w:type="dxa"/>
            <w:gridSpan w:val="2"/>
            <w:vMerge w:val="continue"/>
            <w:tcBorders>
              <w:left w:val="single" w:color="auto" w:sz="4" w:space="0"/>
              <w:right w:val="single" w:color="auto" w:sz="4" w:space="0"/>
            </w:tcBorders>
            <w:shd w:val="clear" w:color="auto" w:fill="FFFFFF"/>
            <w:tcMar>
              <w:top w:w="57" w:type="dxa"/>
              <w:left w:w="108" w:type="dxa"/>
              <w:bottom w:w="57" w:type="dxa"/>
              <w:right w:w="108" w:type="dxa"/>
            </w:tcMar>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副高级职称、国家职业资格证书一级（高级技师）或职业技能等级证书一级</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80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80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667" w:type="dxa"/>
            <w:gridSpan w:val="2"/>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highlight w:val="none"/>
              </w:rPr>
            </w:pPr>
            <w:r>
              <w:rPr>
                <w:rFonts w:hint="eastAsia" w:ascii="仿宋_GB2312" w:hAnsi="仿宋_GB2312" w:cs="仿宋_GB2312"/>
                <w:b/>
                <w:bCs/>
                <w:color w:val="FF0000"/>
                <w:sz w:val="18"/>
                <w:szCs w:val="18"/>
                <w:highlight w:val="yellow"/>
              </w:rPr>
              <w:t>中级职称、</w:t>
            </w:r>
            <w:r>
              <w:rPr>
                <w:rFonts w:hint="eastAsia" w:ascii="仿宋_GB2312" w:hAnsi="仿宋_GB2312" w:cs="仿宋_GB2312"/>
                <w:sz w:val="18"/>
                <w:szCs w:val="18"/>
                <w:highlight w:val="none"/>
              </w:rPr>
              <w:t>国家职业资格证书二级（技师）或职业技能</w:t>
            </w:r>
            <w:bookmarkStart w:id="1" w:name="_GoBack"/>
            <w:bookmarkEnd w:id="1"/>
            <w:r>
              <w:rPr>
                <w:rFonts w:hint="eastAsia" w:ascii="仿宋_GB2312" w:hAnsi="仿宋_GB2312" w:cs="仿宋_GB2312"/>
                <w:sz w:val="18"/>
                <w:szCs w:val="18"/>
                <w:highlight w:val="none"/>
              </w:rPr>
              <w:t>等级证书二级</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b/>
                <w:bCs/>
                <w:color w:val="FF0000"/>
                <w:sz w:val="18"/>
                <w:szCs w:val="18"/>
                <w:highlight w:val="yellow"/>
              </w:rPr>
            </w:pPr>
            <w:r>
              <w:rPr>
                <w:rFonts w:hint="eastAsia" w:ascii="仿宋_GB2312" w:hAnsi="仿宋_GB2312" w:cs="仿宋_GB2312"/>
                <w:b/>
                <w:bCs/>
                <w:color w:val="FF0000"/>
                <w:sz w:val="18"/>
                <w:szCs w:val="18"/>
                <w:highlight w:val="yellow"/>
              </w:rPr>
              <w:t>60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b/>
                <w:bCs/>
                <w:color w:val="FF0000"/>
                <w:sz w:val="18"/>
                <w:szCs w:val="18"/>
                <w:highlight w:val="yellow"/>
              </w:rPr>
            </w:pPr>
            <w:r>
              <w:rPr>
                <w:rFonts w:hint="eastAsia" w:ascii="仿宋_GB2312" w:hAnsi="仿宋_GB2312" w:cs="仿宋_GB2312"/>
                <w:b/>
                <w:bCs/>
                <w:color w:val="FF0000"/>
                <w:sz w:val="18"/>
                <w:szCs w:val="18"/>
                <w:highlight w:val="yellow"/>
              </w:rPr>
              <w:t>60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667" w:type="dxa"/>
            <w:gridSpan w:val="2"/>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57" w:type="dxa"/>
            <w:left w:w="108" w:type="dxa"/>
            <w:bottom w:w="57" w:type="dxa"/>
            <w:right w:w="108" w:type="dxa"/>
          </w:tblCellMar>
        </w:tblPrEx>
        <w:trPr>
          <w:cantSplit/>
        </w:trPr>
        <w:tc>
          <w:tcPr>
            <w:tcW w:w="586" w:type="dxa"/>
            <w:vMerge w:val="continue"/>
            <w:tcBorders>
              <w:left w:val="single" w:color="auto" w:sz="4" w:space="0"/>
              <w:right w:val="single" w:color="auto" w:sz="4" w:space="0"/>
            </w:tcBorders>
            <w:shd w:val="clear" w:color="auto" w:fill="FFFFFF"/>
            <w:tcMar>
              <w:top w:w="57" w:type="dxa"/>
              <w:left w:w="108" w:type="dxa"/>
              <w:bottom w:w="57" w:type="dxa"/>
              <w:right w:w="108" w:type="dxa"/>
            </w:tcMar>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left w:val="single" w:color="auto" w:sz="4" w:space="0"/>
              <w:right w:val="single" w:color="auto" w:sz="4" w:space="0"/>
            </w:tcBorders>
            <w:shd w:val="clear" w:color="auto" w:fill="FFFFFF"/>
            <w:tcMar>
              <w:top w:w="57" w:type="dxa"/>
              <w:left w:w="108" w:type="dxa"/>
              <w:bottom w:w="57" w:type="dxa"/>
              <w:right w:w="108" w:type="dxa"/>
            </w:tcMar>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助理级职称、国家职业资格证书三级（高级工）或职业技能等级证书三级</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57" w:type="dxa"/>
              <w:bottom w:w="57"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40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57" w:type="dxa"/>
              <w:bottom w:w="57"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40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667" w:type="dxa"/>
            <w:gridSpan w:val="2"/>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员级职称、国家职业资格证书四级（中级工）或职业技能等级证书四级</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20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20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667" w:type="dxa"/>
            <w:gridSpan w:val="2"/>
            <w:vMerge w:val="continue"/>
            <w:tcBorders>
              <w:left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国家职业资格证书五级</w:t>
            </w:r>
          </w:p>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（初级工）或职业技能等级证书</w:t>
            </w:r>
          </w:p>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五级</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8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667" w:type="dxa"/>
            <w:gridSpan w:val="2"/>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加分</w:t>
            </w: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p>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加分</w:t>
            </w:r>
          </w:p>
        </w:tc>
        <w:tc>
          <w:tcPr>
            <w:tcW w:w="102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奖项荣誉</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获得国家级综合性表彰奖励和荣誉称号</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80分/次</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240</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与奖项荣誉授予单位相对应的单位</w:t>
            </w:r>
          </w:p>
        </w:tc>
        <w:tc>
          <w:tcPr>
            <w:tcW w:w="354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所取得的奖项荣誉应在本市市区工作或学习期间获得，近5年内有效，需提供相应证书、文件、奖牌（由党委、政府颁发，不包括部门单独评选奖项）。同一事项获得多项表彰的，计最高分，不同事项可累计。国家、省、市相关表彰另有规定的，从其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获得浙江省级综合性表彰奖励和荣誉称号</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50分/次</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150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Height w:val="90"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获得杭州市级综合性表彰奖励和荣誉称号</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30分/次</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90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获得本市各区、县（市）级综合性表彰奖励和荣誉称号</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10分/次</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Height w:val="364"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社会服务</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成功捐献骨髓（造血干细胞）</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80</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80</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市民政局、市卫生健康委员会、团市委、市总工会、市红十字会等</w:t>
            </w: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入中华骨髓库并配对成功进行捐献骨髓的。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参加无偿献血</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在本市参加无偿献血，累计达200ml起计1分，每增加100ml加0.5分</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20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应在本市（杭州地区）范围内献血。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参加志愿者服务</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近5年内，累计达20时起计2分，每增加20时加2分</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20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参加志愿者服务的以本市“志愿汇”系统记录或团市委认可的网络平台数据为准。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57" w:type="dxa"/>
            <w:left w:w="108" w:type="dxa"/>
            <w:bottom w:w="57" w:type="dxa"/>
            <w:right w:w="108" w:type="dxa"/>
          </w:tblCellMar>
        </w:tblPrEx>
        <w:trPr>
          <w:cantSplit/>
          <w:trHeight w:val="860"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参加慈善捐赠</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近5年内，在本市市区参加“春风行动”、红十字会及政府认定的慈善单位组织的慈善活动捐款，累计达1千元起计2分，每增加1千元加2分</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10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慈善捐款以“公益事业捐赠统一票据”或市民政局认可的网络公开募捐平台数据为准。</w:t>
            </w:r>
          </w:p>
          <w:p>
            <w:pPr>
              <w:overflowPunct w:val="0"/>
              <w:topLinePunct/>
              <w:adjustRightInd w:val="0"/>
              <w:snapToGrid w:val="0"/>
              <w:spacing w:line="200" w:lineRule="exact"/>
              <w:textAlignment w:val="center"/>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CellMar>
            <w:top w:w="57" w:type="dxa"/>
            <w:left w:w="108" w:type="dxa"/>
            <w:bottom w:w="57" w:type="dxa"/>
            <w:right w:w="108" w:type="dxa"/>
          </w:tblCellMar>
        </w:tblPrEx>
        <w:trPr>
          <w:cantSplit/>
          <w:trHeight w:val="90"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投资纳税</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自主创业工商注册</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投资者个人近5年连续在市区累计缴纳个人所得税5万元为1分，每增加3万元加1分</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20</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国家税务总局杭州市税务局、市市场监管局</w:t>
            </w:r>
          </w:p>
        </w:tc>
        <w:tc>
          <w:tcPr>
            <w:tcW w:w="354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凭“中华人民共和国个人所得税纳税记录”认定。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Height w:val="809"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非投资者个人</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近5年连续在市区累计缴纳工资薪金等个人所得税达10000元为1分，每增加5000元加1分</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20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Height w:val="1394"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来杭投资企业</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被公示为浙江省AAA级“守合同重信用”企业或浙江省、杭州市公布的“信用管理示范企业”的法定代表人、董事、监事、高级管理人员（指公司的经理、副经理、财务负责人，上市公司董事会秘书和公司章程规定的其他人员）相应加40分</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80</w:t>
            </w: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企业同时被公示为浙江省AAA级“守合同重信用”企业和浙江省、杭州市“信用管理示范企业”的叠加计80分。</w:t>
            </w:r>
          </w:p>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企业同时被浙江省和杭州市公示为“信用管理示范企业”的只计40分，不叠加计分。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Height w:val="839"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科技创新</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adjustRightInd w:val="0"/>
              <w:snapToGrid w:val="0"/>
              <w:spacing w:line="200" w:lineRule="exact"/>
              <w:jc w:val="center"/>
              <w:rPr>
                <w:rFonts w:ascii="仿宋_GB2312" w:hAnsi="仿宋_GB2312" w:cs="仿宋_GB2312"/>
                <w:sz w:val="18"/>
                <w:szCs w:val="18"/>
              </w:rPr>
            </w:pPr>
            <w:r>
              <w:rPr>
                <w:rFonts w:hint="eastAsia" w:ascii="仿宋_GB2312" w:hAnsi="仿宋_GB2312" w:cs="仿宋_GB2312"/>
                <w:sz w:val="18"/>
                <w:szCs w:val="18"/>
              </w:rPr>
              <w:t>自主发明创新，被授予发明专利</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30分/项</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不设</w:t>
            </w:r>
          </w:p>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上限</w:t>
            </w:r>
          </w:p>
        </w:tc>
        <w:tc>
          <w:tcPr>
            <w:tcW w:w="147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市市场监管局（市知识产权局）</w:t>
            </w: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在本市市区工作或学习期间获得的发明专利。多人共有专利的第一专利权人计20分，其他专利权人减半。转让专利不得分。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Height w:val="1224" w:hRule="atLeas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adjustRightInd w:val="0"/>
              <w:snapToGrid w:val="0"/>
              <w:spacing w:line="200" w:lineRule="exact"/>
              <w:jc w:val="center"/>
              <w:rPr>
                <w:rFonts w:ascii="仿宋_GB2312" w:hAnsi="仿宋_GB2312" w:cs="仿宋_GB2312"/>
                <w:sz w:val="18"/>
                <w:szCs w:val="18"/>
              </w:rPr>
            </w:pPr>
            <w:r>
              <w:rPr>
                <w:rFonts w:hint="eastAsia" w:ascii="仿宋_GB2312" w:hAnsi="仿宋_GB2312" w:cs="仿宋_GB2312"/>
                <w:sz w:val="18"/>
                <w:szCs w:val="18"/>
              </w:rPr>
              <w:t>各级科技进步奖的主要完成人</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国家级科技进步奖二等奖以上的得80分；省级科技进步奖证书上排名前5位的，一等奖得60分、二等奖得50分、三等奖得40分；市级科技进步奖证书上排名前5位的，一等奖得50分、二等奖得40分、三等奖得30分</w:t>
            </w:r>
          </w:p>
        </w:tc>
        <w:tc>
          <w:tcPr>
            <w:tcW w:w="609"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不设</w:t>
            </w:r>
          </w:p>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上限</w:t>
            </w:r>
          </w:p>
        </w:tc>
        <w:tc>
          <w:tcPr>
            <w:tcW w:w="1476"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市科技局</w:t>
            </w:r>
          </w:p>
        </w:tc>
        <w:tc>
          <w:tcPr>
            <w:tcW w:w="3540" w:type="dxa"/>
            <w:gridSpan w:val="3"/>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textAlignment w:val="center"/>
              <w:rPr>
                <w:rFonts w:ascii="仿宋_GB2312" w:hAnsi="仿宋_GB2312" w:cs="仿宋_GB2312"/>
                <w:sz w:val="18"/>
                <w:szCs w:val="18"/>
              </w:rPr>
            </w:pPr>
            <w:r>
              <w:rPr>
                <w:rFonts w:hint="eastAsia" w:ascii="仿宋_GB2312" w:hAnsi="仿宋_GB2312" w:cs="仿宋_GB2312"/>
                <w:sz w:val="18"/>
                <w:szCs w:val="18"/>
              </w:rPr>
              <w:t>在本市市区工作期间获得的科技进步奖。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减分</w:t>
            </w:r>
          </w:p>
        </w:tc>
        <w:tc>
          <w:tcPr>
            <w:tcW w:w="102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守法诚信</w:t>
            </w: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adjustRightInd w:val="0"/>
              <w:snapToGrid w:val="0"/>
              <w:spacing w:line="200" w:lineRule="exact"/>
              <w:jc w:val="center"/>
              <w:rPr>
                <w:rFonts w:ascii="仿宋_GB2312" w:hAnsi="仿宋_GB2312" w:cs="仿宋_GB2312"/>
                <w:sz w:val="18"/>
                <w:szCs w:val="18"/>
              </w:rPr>
            </w:pPr>
            <w:r>
              <w:rPr>
                <w:rFonts w:hint="eastAsia" w:ascii="仿宋_GB2312" w:hAnsi="仿宋_GB2312" w:cs="仿宋_GB2312"/>
                <w:sz w:val="18"/>
                <w:szCs w:val="18"/>
              </w:rPr>
              <w:t>5年内有一般刑事犯罪记录</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80分/次</w:t>
            </w:r>
          </w:p>
        </w:tc>
        <w:tc>
          <w:tcPr>
            <w:tcW w:w="609"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累计扣分，不设上限</w:t>
            </w:r>
          </w:p>
          <w:p>
            <w:pPr>
              <w:overflowPunct w:val="0"/>
              <w:topLinePunct/>
              <w:adjustRightInd w:val="0"/>
              <w:snapToGrid w:val="0"/>
              <w:spacing w:line="200" w:lineRule="exact"/>
              <w:jc w:val="center"/>
              <w:textAlignment w:val="center"/>
              <w:rPr>
                <w:rFonts w:ascii="仿宋_GB2312" w:hAnsi="仿宋_GB2312" w:cs="仿宋_GB2312"/>
                <w:sz w:val="18"/>
                <w:szCs w:val="18"/>
              </w:rPr>
            </w:pPr>
          </w:p>
        </w:tc>
        <w:tc>
          <w:tcPr>
            <w:tcW w:w="1476" w:type="dxa"/>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市发改委、市公安局、市卫生健康委员会等</w:t>
            </w:r>
          </w:p>
        </w:tc>
        <w:tc>
          <w:tcPr>
            <w:tcW w:w="354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left"/>
              <w:textAlignment w:val="center"/>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adjustRightInd w:val="0"/>
              <w:snapToGrid w:val="0"/>
              <w:spacing w:line="200" w:lineRule="exact"/>
              <w:jc w:val="center"/>
              <w:rPr>
                <w:rFonts w:ascii="仿宋_GB2312" w:hAnsi="仿宋_GB2312" w:cs="仿宋_GB2312"/>
                <w:sz w:val="18"/>
                <w:szCs w:val="18"/>
              </w:rPr>
            </w:pPr>
            <w:r>
              <w:rPr>
                <w:rFonts w:hint="eastAsia" w:ascii="仿宋_GB2312" w:hAnsi="仿宋_GB2312" w:cs="仿宋_GB2312"/>
                <w:sz w:val="18"/>
                <w:szCs w:val="18"/>
              </w:rPr>
              <w:t>5年内被强制隔离戒毒</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50分/次</w:t>
            </w:r>
          </w:p>
        </w:tc>
        <w:tc>
          <w:tcPr>
            <w:tcW w:w="6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adjustRightInd w:val="0"/>
              <w:snapToGrid w:val="0"/>
              <w:spacing w:line="200" w:lineRule="exact"/>
              <w:jc w:val="center"/>
              <w:rPr>
                <w:rFonts w:ascii="仿宋_GB2312" w:hAnsi="仿宋_GB2312" w:cs="仿宋_GB2312"/>
                <w:sz w:val="18"/>
                <w:szCs w:val="18"/>
              </w:rPr>
            </w:pPr>
            <w:r>
              <w:rPr>
                <w:rFonts w:hint="eastAsia" w:ascii="仿宋_GB2312" w:hAnsi="仿宋_GB2312" w:cs="仿宋_GB2312"/>
                <w:sz w:val="18"/>
                <w:szCs w:val="18"/>
              </w:rPr>
              <w:t>5年内被行政拘留或司法拘留处罚</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30分/次</w:t>
            </w:r>
          </w:p>
        </w:tc>
        <w:tc>
          <w:tcPr>
            <w:tcW w:w="6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adjustRightInd w:val="0"/>
              <w:snapToGrid w:val="0"/>
              <w:spacing w:line="200" w:lineRule="exact"/>
              <w:jc w:val="center"/>
              <w:rPr>
                <w:rFonts w:ascii="仿宋_GB2312" w:hAnsi="仿宋_GB2312" w:cs="仿宋_GB2312"/>
                <w:sz w:val="18"/>
                <w:szCs w:val="18"/>
              </w:rPr>
            </w:pPr>
            <w:r>
              <w:rPr>
                <w:rFonts w:hint="eastAsia" w:ascii="仿宋_GB2312" w:hAnsi="仿宋_GB2312" w:cs="仿宋_GB2312"/>
                <w:sz w:val="18"/>
                <w:szCs w:val="18"/>
              </w:rPr>
              <w:t>5年内有被列入国家、浙江省及杭州市公共信用信息平台的失信行为</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20分/次</w:t>
            </w:r>
          </w:p>
        </w:tc>
        <w:tc>
          <w:tcPr>
            <w:tcW w:w="6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Pr>
        <w:tc>
          <w:tcPr>
            <w:tcW w:w="5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2684"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adjustRightInd w:val="0"/>
              <w:snapToGrid w:val="0"/>
              <w:spacing w:line="200" w:lineRule="exact"/>
              <w:jc w:val="center"/>
              <w:rPr>
                <w:rFonts w:ascii="仿宋_GB2312" w:hAnsi="仿宋_GB2312" w:cs="仿宋_GB2312"/>
                <w:sz w:val="18"/>
                <w:szCs w:val="18"/>
              </w:rPr>
            </w:pPr>
            <w:r>
              <w:rPr>
                <w:rFonts w:hint="eastAsia" w:ascii="仿宋_GB2312" w:hAnsi="仿宋_GB2312" w:cs="仿宋_GB2312"/>
                <w:sz w:val="18"/>
                <w:szCs w:val="18"/>
              </w:rPr>
              <w:t>有违反国家计划生育政策的行为</w:t>
            </w:r>
          </w:p>
        </w:tc>
        <w:tc>
          <w:tcPr>
            <w:tcW w:w="3270" w:type="dxa"/>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adjustRightInd w:val="0"/>
              <w:snapToGrid w:val="0"/>
              <w:spacing w:line="200" w:lineRule="exact"/>
              <w:jc w:val="center"/>
              <w:textAlignment w:val="center"/>
              <w:rPr>
                <w:rFonts w:ascii="仿宋_GB2312" w:hAnsi="仿宋_GB2312" w:cs="仿宋_GB2312"/>
                <w:sz w:val="18"/>
                <w:szCs w:val="18"/>
              </w:rPr>
            </w:pPr>
            <w:r>
              <w:rPr>
                <w:rFonts w:hint="eastAsia" w:ascii="仿宋_GB2312" w:hAnsi="仿宋_GB2312" w:cs="仿宋_GB2312"/>
                <w:sz w:val="18"/>
                <w:szCs w:val="18"/>
              </w:rPr>
              <w:t>20分/次</w:t>
            </w:r>
          </w:p>
        </w:tc>
        <w:tc>
          <w:tcPr>
            <w:tcW w:w="6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14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c>
          <w:tcPr>
            <w:tcW w:w="3540"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00" w:lineRule="exact"/>
              <w:rPr>
                <w:rFonts w:ascii="仿宋_GB2312" w:hAnsi="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57" w:type="dxa"/>
            <w:left w:w="108" w:type="dxa"/>
            <w:bottom w:w="57" w:type="dxa"/>
            <w:right w:w="108" w:type="dxa"/>
          </w:tblCellMar>
        </w:tblPrEx>
        <w:trPr>
          <w:cantSplit/>
          <w:trHeight w:val="1221" w:hRule="atLeast"/>
        </w:trPr>
        <w:tc>
          <w:tcPr>
            <w:tcW w:w="13191" w:type="dxa"/>
            <w:gridSpan w:val="9"/>
            <w:tcBorders>
              <w:top w:val="single" w:color="auto" w:sz="4" w:space="0"/>
              <w:left w:val="single" w:color="auto" w:sz="4" w:space="0"/>
              <w:bottom w:val="single" w:color="auto" w:sz="4" w:space="0"/>
              <w:right w:val="single" w:color="auto" w:sz="4" w:space="0"/>
            </w:tcBorders>
            <w:shd w:val="clear" w:color="auto" w:fill="FFFFFF"/>
            <w:tcMar>
              <w:top w:w="28" w:type="dxa"/>
              <w:left w:w="28" w:type="dxa"/>
              <w:bottom w:w="28" w:type="dxa"/>
              <w:right w:w="28" w:type="dxa"/>
            </w:tcMar>
            <w:vAlign w:val="center"/>
          </w:tcPr>
          <w:p>
            <w:pPr>
              <w:overflowPunct w:val="0"/>
              <w:topLinePunct/>
              <w:adjustRightInd w:val="0"/>
              <w:snapToGrid w:val="0"/>
              <w:spacing w:line="200" w:lineRule="exact"/>
              <w:ind w:firstLine="336" w:firstLineChars="200"/>
              <w:textAlignment w:val="center"/>
              <w:rPr>
                <w:rFonts w:ascii="仿宋_GB2312" w:hAnsi="仿宋_GB2312" w:cs="仿宋_GB2312"/>
                <w:sz w:val="18"/>
                <w:szCs w:val="18"/>
              </w:rPr>
            </w:pPr>
            <w:r>
              <w:rPr>
                <w:rFonts w:hint="eastAsia" w:ascii="仿宋_GB2312" w:hAnsi="仿宋_GB2312" w:cs="仿宋_GB2312"/>
                <w:sz w:val="18"/>
                <w:szCs w:val="18"/>
              </w:rPr>
              <w:t>1．有严重刑事犯罪记录，或参加国家禁止的组织或活动的，实行一票否决（注：严重刑事犯罪是指法院判决为犯故意杀人、故意伤害致人重伤或死亡、强奸、抢劫、贩卖毒品、放火、爆炸、投放危险物质罪或被判处5年有期徒刑以上的刑事犯罪）；</w:t>
            </w:r>
          </w:p>
          <w:p>
            <w:pPr>
              <w:overflowPunct w:val="0"/>
              <w:topLinePunct/>
              <w:adjustRightInd w:val="0"/>
              <w:snapToGrid w:val="0"/>
              <w:spacing w:line="200" w:lineRule="exact"/>
              <w:ind w:firstLine="336" w:firstLineChars="200"/>
              <w:textAlignment w:val="center"/>
              <w:rPr>
                <w:rFonts w:ascii="仿宋_GB2312" w:hAnsi="仿宋_GB2312" w:cs="仿宋_GB2312"/>
                <w:sz w:val="18"/>
                <w:szCs w:val="18"/>
              </w:rPr>
            </w:pPr>
            <w:r>
              <w:rPr>
                <w:rFonts w:hint="eastAsia" w:ascii="仿宋_GB2312" w:hAnsi="仿宋_GB2312" w:cs="仿宋_GB2312"/>
                <w:sz w:val="18"/>
                <w:szCs w:val="18"/>
              </w:rPr>
              <w:t>2．指标体系标准分值所称“以上”均包含本数；</w:t>
            </w:r>
          </w:p>
          <w:p>
            <w:pPr>
              <w:overflowPunct w:val="0"/>
              <w:topLinePunct/>
              <w:adjustRightInd w:val="0"/>
              <w:snapToGrid w:val="0"/>
              <w:spacing w:line="200" w:lineRule="exact"/>
              <w:ind w:firstLine="336" w:firstLineChars="200"/>
              <w:textAlignment w:val="center"/>
              <w:rPr>
                <w:rFonts w:ascii="仿宋_GB2312" w:hAnsi="仿宋_GB2312" w:cs="仿宋_GB2312"/>
                <w:sz w:val="18"/>
                <w:szCs w:val="18"/>
              </w:rPr>
            </w:pPr>
            <w:r>
              <w:rPr>
                <w:rFonts w:hint="eastAsia" w:ascii="仿宋_GB2312" w:hAnsi="仿宋_GB2312" w:cs="仿宋_GB2312"/>
                <w:sz w:val="18"/>
                <w:szCs w:val="18"/>
              </w:rPr>
              <w:t>3．申请人积分申请须提供的证明材料已实现部门数据共享的，无需提供相应证明材料；</w:t>
            </w:r>
          </w:p>
          <w:p>
            <w:pPr>
              <w:overflowPunct w:val="0"/>
              <w:topLinePunct/>
              <w:adjustRightInd w:val="0"/>
              <w:snapToGrid w:val="0"/>
              <w:spacing w:line="200" w:lineRule="exact"/>
              <w:ind w:firstLine="336" w:firstLineChars="200"/>
              <w:textAlignment w:val="center"/>
              <w:rPr>
                <w:rFonts w:ascii="仿宋_GB2312" w:hAnsi="仿宋_GB2312" w:cs="仿宋_GB2312"/>
                <w:sz w:val="18"/>
                <w:szCs w:val="18"/>
              </w:rPr>
            </w:pPr>
            <w:r>
              <w:rPr>
                <w:rFonts w:hint="eastAsia" w:ascii="仿宋_GB2312" w:hAnsi="仿宋_GB2312" w:cs="仿宋_GB2312"/>
                <w:sz w:val="18"/>
                <w:szCs w:val="18"/>
              </w:rPr>
              <w:t>4．参加积分应用的，上述指标计算截止时间为当期受理起始日的上月首日。</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RhYjg4NzZiNzVkOWY5MTM5NDEyZWFhOTQ0YzAyOTcifQ=="/>
  </w:docVars>
  <w:rsids>
    <w:rsidRoot w:val="00A95736"/>
    <w:rsid w:val="00265F56"/>
    <w:rsid w:val="00291E68"/>
    <w:rsid w:val="00544DA0"/>
    <w:rsid w:val="005D7A04"/>
    <w:rsid w:val="009B7286"/>
    <w:rsid w:val="00A95736"/>
    <w:rsid w:val="00D37702"/>
    <w:rsid w:val="00F86364"/>
    <w:rsid w:val="522946E3"/>
    <w:rsid w:val="5384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uto"/>
      <w:jc w:val="left"/>
    </w:pPr>
    <w:rPr>
      <w:rFonts w:asciiTheme="minorHAnsi" w:hAnsiTheme="minorHAnsi" w:eastAsiaTheme="minorEastAsia" w:cstheme="minorBidi"/>
      <w:spacing w:val="0"/>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pacing w:val="0"/>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4</Pages>
  <Words>437</Words>
  <Characters>2493</Characters>
  <Lines>20</Lines>
  <Paragraphs>5</Paragraphs>
  <TotalTime>10</TotalTime>
  <ScaleCrop>false</ScaleCrop>
  <LinksUpToDate>false</LinksUpToDate>
  <CharactersWithSpaces>2925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2021-01-13T02:03:00Z</dcterms:created>
  <dc:creator>Windows User</dc:creator>
  <cp:lastModifiedBy>才华横溢的^ω^傻瓜</cp:lastModifiedBy>
  <dcterms:modified xsi:type="dcterms:W3CDTF">2024-04-19T02:55:42Z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4CC0CDBFA43B434BB937CC56351DBE70_12</vt:lpwstr>
  </property>
</Properties>
</file>