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5F5F5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5F5F5"/>
        </w:rPr>
        <w:t>考试科目及时间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46"/>
        <w:gridCol w:w="3187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考试类别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考试日期</w:t>
            </w:r>
          </w:p>
        </w:tc>
        <w:tc>
          <w:tcPr>
            <w:tcW w:w="316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考试时间及内容</w:t>
            </w:r>
          </w:p>
        </w:tc>
        <w:tc>
          <w:tcPr>
            <w:tcW w:w="3438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  <w:jc w:val="center"/>
        </w:trPr>
        <w:tc>
          <w:tcPr>
            <w:tcW w:w="695" w:type="dxa"/>
            <w:vMerge w:val="restart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师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6月1日</w:t>
            </w:r>
          </w:p>
        </w:tc>
        <w:tc>
          <w:tcPr>
            <w:tcW w:w="316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上午09:00—11:30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专业工程管理与实务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（建筑、公路、矿业工程）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下午13:30—15:30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建设工程法规及相关知识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16:30—18:30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建设工程施工管理</w:t>
            </w:r>
          </w:p>
        </w:tc>
        <w:tc>
          <w:tcPr>
            <w:tcW w:w="3438" w:type="dxa"/>
            <w:vMerge w:val="restart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建设工程施工管理》、《建设工程法规及相关知识》为客观题，在答题卡上作答。《专业工程管理与实务》科目为主、客观混合题，客观题在答题卡上作答，主观题在答题纸上（专用答题卡）作答。考生务必注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1.答题前仔细阅读应试人员注意事项，使用规定的作答工具作答，主观题在答题纸划定的区域内作答。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2.考生应携带黑色墨水笔，2B铅笔、橡皮、无声无文本编程存储功能的计算器。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3.客观题试卷卷本可作草稿纸使用，不再另发草稿纸；主观题草稿纸统一配发，考后收回。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2024年度二级建造师执业资格考试大纲以《二级建造师执业资格考试大纲》（2024年版）为准。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8" w:hRule="atLeast"/>
          <w:tblCellSpacing w:w="0" w:type="dxa"/>
          <w:jc w:val="center"/>
        </w:trPr>
        <w:tc>
          <w:tcPr>
            <w:tcW w:w="69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6月2日</w:t>
            </w:r>
          </w:p>
        </w:tc>
        <w:tc>
          <w:tcPr>
            <w:tcW w:w="3167" w:type="dxa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上午09:00—11:30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专业工程管理与实务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（机电、市政公用、水利水电工程）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下午13:30—15:30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建设工程法规及相关知识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16:30—18:30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建设工程施工管理</w:t>
            </w:r>
          </w:p>
        </w:tc>
        <w:tc>
          <w:tcPr>
            <w:tcW w:w="3438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420629B1"/>
    <w:rsid w:val="4206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2024-03-29T06:43:00Z</dcterms:created>
  <dc:creator>优小布【9-18点上班】</dc:creator>
  <cp:lastModifiedBy>优小布【9-18点上班】</cp:lastModifiedBy>
  <dcterms:modified xsi:type="dcterms:W3CDTF">2024-03-29T06:45:01Z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3EC2AEF2A16545E5881A5128E0ADF89B_11</vt:lpwstr>
  </property>
</Properties>
</file>